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宋体" w:hAnsi="宋体" w:eastAsia="宋体" w:cs="宋体"/>
          <w:i w:val="0"/>
          <w:caps w:val="0"/>
          <w:color w:val="333333"/>
          <w:spacing w:val="0"/>
          <w:sz w:val="28"/>
          <w:szCs w:val="28"/>
        </w:rPr>
      </w:pPr>
      <w:bookmarkStart w:id="0" w:name="_GoBack"/>
      <w:bookmarkEnd w:id="0"/>
      <w:r>
        <w:rPr>
          <w:rFonts w:hint="eastAsia" w:ascii="宋体" w:hAnsi="宋体" w:eastAsia="宋体" w:cs="宋体"/>
          <w:i w:val="0"/>
          <w:caps w:val="0"/>
          <w:color w:val="333333"/>
          <w:spacing w:val="0"/>
          <w:sz w:val="28"/>
          <w:szCs w:val="28"/>
        </w:rPr>
        <w:t>高等学校哲学社会科学繁荣计划专项资金管理办法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第一条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第二条 繁荣计划专项资金由中央财政安排，是用于支持“高等学校哲学社会科学繁荣计划”（以下简称繁荣计划）社会科学研究、学科发展、人才培养和队伍建设的专项资金。</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第三条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第四条 财政部、教育部负责制定繁荣计划专项资金管理制度，研究制定预算安排的总体方案。教育部负责编制繁荣计划专项资金年度预算、组织实施和管理监督工作，建立健全项目绩效考评机制。</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第五条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项目依托学校的财务和科研管理等相关部门，要根据学科特点和实际需要,加强对项目预算执行和资金使用的指导；注重科学管理、改进服务，为项目实施提供条件保障。</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第六条 项目负责人是项目管理和资金使用的直接责任人，应当按照本办法规定，科学编制项目预算和决算，合理合规使用资金。</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项目负责人应当严格遵守国家预算和财务管理规定，对资金使用和项目实施的合规性、合理性、真实性和相关性负责，并承担相应的经济与法律责任。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rPr>
        <w:t>第二章  支出范围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第七条 繁荣计划专项资金分为研究项目资金、非研究项目资金和管理资金。</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第八条 本办法第七条所称研究项目是指围绕繁荣计划建设任务设立的各类高校哲学社会科学研究项目的总称。研究项目资金包括在项目研究过程中发生的直接费用和间接费用。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第九条 直接费用包括图书资料费、数据采集费、会议费/差旅费/国际合作与交流费、设备费、专家咨询费、劳务费、印刷费/宣传费等。其中：</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图书资料费：指在项目研究过程中购买必要的图书（包括外文图书）、专业软件，资料收集、整理、录入、复印、翻拍、翻译，文献检索等费用。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数据采集费：指在项目研究过程中开展问卷调查、田野调查、数据购买、数据分析及相应技术服务购买等费用。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设备费：指在项目研究过程中购置设备和设备耗材、升级维护现有设备以及租用外单位设备而发生的费用。应当严格控制设备购置，鼓励共享、租赁以及对现有设备进行升级改造。</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专家咨询费：指在项目研究过程中支付给临时聘请的咨询专家的费用。专家咨询费由项目负责人按照项目研究实际需要编制，支出标准按照国家有关规定执行。</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印刷费/宣传费：指在项目研究过程中支付的打印、印刷和出版、成果推介等费用。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其他：指与项目研究直接相关的除上述费用之外的其他支出。其他支出应当在项目预算中单独列示，单独核定。</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第十条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间接费用一般按照不超过项目支出总额的一定比例核定。具体比例如下：50万元及以下部分为30%；超过50万元至500万元的部分为20%；超过500万元的部分为13%。严禁超额提取、变相提取和重复提取。</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间接费用应当纳入项目依托学校预算统筹安排，合规合理使用。项目依托学校统筹安排间接费用时，应当处理好合理分摊间接成本和对科研人员激励的关系，绩效支出安排应当结合项目研究进度和完成质量，与科研人员在项目工作中的实际贡献挂钩。</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第十一条 非研究项目资金指支撑高校哲学社会科学科研机构、团队以及智库运行、优秀成果奖励等繁荣计划建设项目的资金。</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非研究项目资金按照“绩效导向、稳定支持、协议管理、动态调整”的原则进行资助和管理，可以通过第三方评估将相关优秀的研究机构（或者智库、团队）纳入资助范围。</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在财政部、教育部核定的资金总额内，依托高校和相关研究机构（或者智库、团队）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教育部与依托学校、受资助研究机构（或者智库、团队）约定建设周期内的目标任务，委托第三方进行评价考核，根据实际绩效实行有差别的稳定支持，并采取优胜劣汰、动态调整的管理方式。</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财政部、教育部按规定对获得教育部科学研究优秀成果奖（人文社会科学）的成果进行奖励，对被采用和向有关部门报送的有价值、高水平的咨政成果实行后期资助和事后奖励。学校不得对奖励资金提取间接费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第十二条 管理资金是指教育部在实施繁荣计划过程中组织、协调、评审、鉴定等管理性工作所需费用。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在繁荣计划实施过程中，应按照“管、办、评”分离原则，推进政府购买服务，规范向社会力量购买服务的程序和方式，切实转变政府职能。</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第十三条 繁荣计划专项资金项目中的相关开支标准，按照国家以及项目依托学校的有关规定执行。</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第十四条 繁荣计划专项资金应当专款专用，不得用于偿还贷款、支付罚款、捐赠、赞助、对外投资等支出，不得用于本单位编制内人员的工资支出，不得用于繁荣计划建设项目之外的支出，不得用于其他不符合国家规定的支出。</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rPr>
        <w:t>第三章  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第十五条 项目申请人在申报繁荣计划项目资金时，应当根据项目类别和要求，按照项目实际需要和资金开支范围规定，科学合理、实事求是地按年度编制项目预算、设定项目绩效目标，并对直接费用支出的主要用途和测算理由等作出说明。</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项目资金需要转拨协作单位的，应在预算中单独列示，并对外协单位资质、承担的研究任务、外拨资金额度等进行详细说明。项目负责人应对合作（外协）业务的真实性、相关性负责。间接费用外拨金额，由项目依托学校和合作研究单位协商确定。</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第十六条 教育部根据繁荣计划建设目标和建设内容，重点对项目预算的目标相关性、政策相符性、经济合理性进行评审。应建立评审专家库，建立和完善评审专家的遴选、回避、信用和问责制度。</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第十七条 教育部根据部门预算编制要求，在部门预算“一上”时，将繁荣计划专项资金三年支出规划和年度预算建议数报送财政部，财政部按部门预算程序审核后批复年度预算。</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第十八条 教育部根据繁荣计划项目类别和完成期限向项目依托学校下达项目预算。其中，研究项目预算一次核定、按年度分期分批下达。未通过年度或中期检查的，停止下达下一年度后续项目预算；非研究项目资金采取一次核定、按年度一次性下达。 </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繁荣计划专项资金支付按照国库集中支付制度有关规定执行。</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第十九条 项目依托学校应当将资金纳入学校财务部门统一管理。</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学校应当指导项目负责人科学合理编制预算，规范预算调剂程序，完善项目资金支出、报销审核监督制度，加强对专家咨询费、劳务费、外拨资金、间接费用、结转结余资金等的审核和管理。</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学校应当强化对合作项目真实性、可行性和合规性的审核，严格防止虚假资源匹配和虚假合作，坚决杜绝假借合作名义骗取资金。</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第二十条 项目预算一经批复，必须严格执行。确需调剂的，应当按规定报批。</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由于研究内容或者研究计划作出重大调整等原因，确需增加或减少预算总额的，由依托学校审核同意后报教育部审批。</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在项目预算总额不变的情况下，支出科目和金额确需调剂的，由项目负责人根据实际需要提出调剂申请，报依托学校审批。会议费/差旅费/国际合作与交流费、劳务费、　　　　专家咨询费预算一般不予调增，可以调减用于项目其他方面支出。如有特殊情况确需调增的，由项目负责人提出申请，经学校审核同意后，报教育部审批。间接费用原则上不得调剂。原项目预算未列示外拨资金，需要增列的，或者已列示的外拨资金确需调整的，由项目负责人提出申请，报依托学校审批。</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第二十一条 项目依托学校应当严格执行国家有关资金支出管理制度。对应当实行“公务卡”结算的支出，按照公务卡结算的有关规定执行。专家咨询费、劳务费等支出，原则上应当通过银行转账方式结算，从严控制现金支出事项。</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对于野外考察、数据采集等科研活动中无法取得发票或财政性票据的支出，在确保真实性的前提下，依托学校可按实际发生额予以报销。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rPr>
        <w:t>第四章  决算管理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第二十二条 项目负责人应当按照规定编制项目资金年度决算。项目依托学校应将繁荣计划专项资金收支情况纳入单位年度决算统一编报。</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第二十三条 项目完成后，项目负责人应当会同学校财务部门清理账目，据实编报项目决算，并附财务部门审核确认的项目资金收支明细账，与项目结项材料一并报送教育部。项目负责人和依托学校不得随意调账变动支出、随意修改记账凭证。</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第二十四条 对于研究项目资金,项目在研期间，年度结转资金可以在下一年度继续使用。项目完成目标任务并通过验收后，结余资金可以用于项目最终成果出版及后续研究的直接支出，或由项目依托学校统筹安排用于科研活动的直接支出。若项目审核验收2年后结余资金仍有剩余的，应当按原渠道退回教育部。对于非研究项目资金和管理资金,按照财政部关于结转结余资金管理有关规定执行。</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第二十五条 项目因故终止或被撤销，依托学校应当及时清理账目与资产，编制财务决算及资产清单，审核汇总后报送教育部。已拨资金或其剩余部分按原渠道退回教育部。</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第二十六条 凡使用繁荣计划专项资金形成的固定资产、无形资产等均属国有资产，应当按照国有资产管理的有关规定执行。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rPr>
        <w:t>第五章  监督检查与绩效管理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第二十七条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第二十八条 项目依托学校应当制定内部管理办法，明确审批程序和管理要求，落实项目预算调剂、间接费用统筹使用、劳务费分配管理、结转结余资金使用等自主权。</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项目依托学校应当完善内部风险防控机制，加强预算审核把关，规范财务支出行为，强化资金使用绩效评价，保障资金使用安全规范有效。</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项目依托学校应当实行内部公开制度，主动公开项目预算、预算调剂、决算、外拨资金、劳务费发放、间接费用、结余资金使用和研究成果等情况。</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项目依托学校和项目负责人应当严格遵守国家财经纪律，依法依规使用项目资金，不得擅自调整外拨资金，不得利用虚假票据套取资金，不得通过编造虚假合同、虚构人员名单等方式虚报冒领劳务费和专家咨询费，不得随意调账变动支出、随意修改记账凭证、以表代账应付财务审计和检查。</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第二十九条 加强繁荣计划专项资金项目绩效管理，建立健全全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第三十条 违反本办法规定的，依照《中华人民共和国预算法》、《财政违法行为处罚处分条例》等国家有关法律制度规定处理。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center"/>
        <w:rPr>
          <w:rFonts w:hint="eastAsia" w:ascii="宋体" w:hAnsi="宋体" w:eastAsia="宋体" w:cs="宋体"/>
          <w:sz w:val="21"/>
          <w:szCs w:val="21"/>
        </w:rPr>
      </w:pPr>
      <w:r>
        <w:rPr>
          <w:rStyle w:val="5"/>
          <w:rFonts w:hint="eastAsia" w:ascii="宋体" w:hAnsi="宋体" w:eastAsia="宋体" w:cs="宋体"/>
          <w:i w:val="0"/>
          <w:caps w:val="0"/>
          <w:color w:val="000000"/>
          <w:spacing w:val="0"/>
          <w:sz w:val="21"/>
          <w:szCs w:val="21"/>
        </w:rPr>
        <w:t>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第三十一条 本办法由财政部、教育部负责解释。</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第三十二条 本办法自2016年12月1日起施行。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line="378"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eastAsia" w:ascii="宋体" w:hAnsi="宋体" w:eastAsia="宋体" w:cs="宋体"/>
          <w:b w:val="0"/>
          <w:i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855A1"/>
    <w:rsid w:val="702A3F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2018-01-25T02:54:47Z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