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eastAsia="宋体" w:cs="宋体"/>
          <w:b/>
          <w:bCs/>
          <w:sz w:val="44"/>
          <w:szCs w:val="44"/>
        </w:rPr>
      </w:pPr>
      <w:bookmarkStart w:id="0" w:name="_GoBack"/>
      <w:bookmarkEnd w:id="0"/>
      <w:r>
        <w:rPr>
          <w:rFonts w:hint="eastAsia" w:ascii="宋体" w:hAnsi="宋体" w:eastAsia="宋体" w:cs="宋体"/>
          <w:b/>
          <w:bCs/>
          <w:sz w:val="32"/>
          <w:szCs w:val="32"/>
        </w:rPr>
        <w:t>附件1</w:t>
      </w:r>
    </w:p>
    <w:p>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2018年山东省软科学计划项目</w:t>
      </w:r>
    </w:p>
    <w:p>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申报指南</w:t>
      </w:r>
    </w:p>
    <w:p>
      <w:pPr>
        <w:pStyle w:val="2"/>
        <w:spacing w:before="0" w:beforeAutospacing="0" w:after="0" w:afterAutospacing="0" w:line="360" w:lineRule="auto"/>
        <w:ind w:firstLine="360"/>
        <w:jc w:val="both"/>
        <w:rPr>
          <w:rFonts w:ascii="黑体" w:hAnsi="黑体" w:eastAsia="黑体" w:cs="黑体"/>
          <w:b/>
          <w:sz w:val="32"/>
          <w:szCs w:val="32"/>
        </w:rPr>
      </w:pPr>
      <w:r>
        <w:rPr>
          <w:rFonts w:hint="eastAsia" w:ascii="仿宋" w:hAnsi="仿宋" w:eastAsia="仿宋" w:cs="仿宋_GB2312"/>
          <w:sz w:val="32"/>
          <w:szCs w:val="32"/>
        </w:rPr>
        <w:t xml:space="preserve">  </w:t>
      </w:r>
      <w:r>
        <w:rPr>
          <w:rFonts w:hint="eastAsia" w:ascii="黑体" w:hAnsi="黑体" w:eastAsia="黑体" w:cs="黑体"/>
          <w:b/>
          <w:sz w:val="32"/>
          <w:szCs w:val="32"/>
        </w:rPr>
        <w:t>一、重点项目支持的研究方向</w:t>
      </w:r>
    </w:p>
    <w:p>
      <w:pPr>
        <w:adjustRightInd w:val="0"/>
        <w:snapToGrid w:val="0"/>
        <w:spacing w:line="360" w:lineRule="auto"/>
        <w:rPr>
          <w:rFonts w:ascii="仿宋" w:hAnsi="仿宋" w:eastAsia="仿宋" w:cs="仿宋_GB2312"/>
          <w:sz w:val="32"/>
          <w:szCs w:val="32"/>
        </w:rPr>
      </w:pPr>
      <w:r>
        <w:rPr>
          <w:rFonts w:hint="eastAsia" w:asciiTheme="minorEastAsia" w:hAnsiTheme="minorEastAsia"/>
          <w:sz w:val="28"/>
          <w:szCs w:val="28"/>
        </w:rPr>
        <w:t xml:space="preserve">   </w:t>
      </w:r>
      <w:r>
        <w:rPr>
          <w:rFonts w:hint="eastAsia" w:ascii="仿宋" w:hAnsi="仿宋" w:eastAsia="仿宋" w:cs="仿宋_GB2312"/>
          <w:sz w:val="32"/>
          <w:szCs w:val="32"/>
        </w:rPr>
        <w:t xml:space="preserve"> 重点项目需紧密围绕以下选题进行申报，拟定的申报项目名称必须与以下主题相吻合。</w:t>
      </w:r>
    </w:p>
    <w:p>
      <w:pPr>
        <w:adjustRightInd w:val="0"/>
        <w:snapToGrid w:val="0"/>
        <w:spacing w:line="360" w:lineRule="auto"/>
        <w:rPr>
          <w:rFonts w:ascii="楷体" w:hAnsi="楷体" w:eastAsia="楷体" w:cs="Arial"/>
          <w:b/>
          <w:kern w:val="0"/>
          <w:sz w:val="32"/>
          <w:szCs w:val="32"/>
        </w:rPr>
      </w:pPr>
      <w:r>
        <w:rPr>
          <w:rFonts w:hint="eastAsia" w:ascii="仿宋" w:hAnsi="仿宋" w:eastAsia="仿宋" w:cs="仿宋"/>
          <w:b/>
          <w:bCs/>
          <w:kern w:val="0"/>
          <w:sz w:val="32"/>
          <w:szCs w:val="32"/>
        </w:rPr>
        <w:t xml:space="preserve">   </w:t>
      </w:r>
      <w:r>
        <w:rPr>
          <w:rFonts w:hint="eastAsia" w:ascii="楷体" w:hAnsi="楷体" w:eastAsia="楷体" w:cs="Arial"/>
          <w:b/>
          <w:kern w:val="0"/>
          <w:sz w:val="32"/>
          <w:szCs w:val="32"/>
        </w:rPr>
        <w:t xml:space="preserve"> 1、科技创新引领新旧动能转换</w:t>
      </w:r>
    </w:p>
    <w:p>
      <w:pPr>
        <w:adjustRightInd w:val="0"/>
        <w:snapToGrid w:val="0"/>
        <w:spacing w:line="360" w:lineRule="auto"/>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围绕科技创新引领新旧动能转换，研究提出整合创新资源、创新体制机制的对策。对山东率先建成创新型省份的成功经验面临问题和推进措施，济青烟国家科技成果转移转化示范区评价指数，黄河三角洲农业高新技术产业示范区高效农业与现代金融融合发展路径等进行研究。选取我省“十强”产业中某一领域，对关键技术瓶颈问题开展研究。</w:t>
      </w:r>
    </w:p>
    <w:p>
      <w:pPr>
        <w:adjustRightInd w:val="0"/>
        <w:snapToGrid w:val="0"/>
        <w:spacing w:line="360" w:lineRule="auto"/>
        <w:rPr>
          <w:rFonts w:ascii="楷体" w:hAnsi="楷体" w:eastAsia="楷体" w:cs="Arial"/>
          <w:b/>
          <w:kern w:val="0"/>
          <w:sz w:val="32"/>
          <w:szCs w:val="32"/>
        </w:rPr>
      </w:pPr>
      <w:r>
        <w:rPr>
          <w:rFonts w:hint="eastAsia" w:ascii="楷体" w:hAnsi="楷体" w:eastAsia="楷体" w:cs="Arial"/>
          <w:b/>
          <w:kern w:val="0"/>
          <w:sz w:val="32"/>
          <w:szCs w:val="32"/>
        </w:rPr>
        <w:t xml:space="preserve">    2、科技创新推动乡村振兴</w:t>
      </w:r>
    </w:p>
    <w:p>
      <w:pPr>
        <w:adjustRightInd w:val="0"/>
        <w:snapToGrid w:val="0"/>
        <w:spacing w:line="360" w:lineRule="auto"/>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围绕加快实现农业农村现代化，打造乡村振兴齐鲁样板，研究科技引领示范乡村振兴的对策与实践路径。围绕加快促进县域创新驱动发展，研究县域、乡镇、村庄创新驱动发展典型，探索培育乡村振兴新动能的对策路径。研究农业科技园区产业提升模式与路径，提出操作性强的对策建议。</w:t>
      </w:r>
    </w:p>
    <w:p>
      <w:pPr>
        <w:adjustRightInd w:val="0"/>
        <w:snapToGrid w:val="0"/>
        <w:spacing w:line="360" w:lineRule="auto"/>
        <w:rPr>
          <w:rFonts w:ascii="楷体" w:hAnsi="楷体" w:eastAsia="楷体" w:cs="Arial"/>
          <w:b/>
          <w:kern w:val="0"/>
          <w:sz w:val="32"/>
          <w:szCs w:val="32"/>
        </w:rPr>
      </w:pPr>
      <w:r>
        <w:rPr>
          <w:rFonts w:hint="eastAsia" w:ascii="仿宋_GB2312" w:hAnsi="黑体" w:eastAsia="仿宋_GB2312" w:cs="Arial"/>
          <w:kern w:val="0"/>
          <w:sz w:val="32"/>
          <w:szCs w:val="32"/>
        </w:rPr>
        <w:t xml:space="preserve">  </w:t>
      </w:r>
      <w:r>
        <w:rPr>
          <w:rFonts w:hint="eastAsia" w:ascii="楷体" w:hAnsi="楷体" w:eastAsia="楷体" w:cs="Arial"/>
          <w:b/>
          <w:kern w:val="0"/>
          <w:sz w:val="32"/>
          <w:szCs w:val="32"/>
        </w:rPr>
        <w:t xml:space="preserve">  3、经略海洋打造海洋科技强省   </w:t>
      </w:r>
    </w:p>
    <w:p>
      <w:pPr>
        <w:adjustRightInd w:val="0"/>
        <w:snapToGrid w:val="0"/>
        <w:spacing w:line="360" w:lineRule="auto"/>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围绕发挥我省海洋科技创新资源聚集优势，以海洋领域省级大科学计划和大科学工程战略研究为引领，研究提升海洋科技创新能力、培育海洋新动能的路径与对策，用海洋科技创新支撑山东高质量发展，支撑新时代海洋强省建设。构建山东海洋科技创新统计指标体系，以近三年为测算评价年份，从沿海省际和各市两方面横向、纵向开展监测评价研究，以科学的指标导向实现海洋的可持续发展和协调发展。</w:t>
      </w:r>
    </w:p>
    <w:p>
      <w:pPr>
        <w:adjustRightInd w:val="0"/>
        <w:snapToGrid w:val="0"/>
        <w:spacing w:line="360" w:lineRule="auto"/>
        <w:rPr>
          <w:rFonts w:ascii="楷体" w:hAnsi="楷体" w:eastAsia="楷体" w:cs="Arial"/>
          <w:b/>
          <w:kern w:val="0"/>
          <w:sz w:val="32"/>
          <w:szCs w:val="32"/>
        </w:rPr>
      </w:pPr>
      <w:r>
        <w:rPr>
          <w:rFonts w:hint="eastAsia" w:ascii="仿宋_GB2312" w:hAnsi="黑体" w:eastAsia="仿宋_GB2312" w:cs="Arial"/>
          <w:kern w:val="0"/>
          <w:sz w:val="32"/>
          <w:szCs w:val="32"/>
        </w:rPr>
        <w:t xml:space="preserve">    </w:t>
      </w:r>
      <w:r>
        <w:rPr>
          <w:rFonts w:hint="eastAsia" w:ascii="楷体" w:hAnsi="楷体" w:eastAsia="楷体" w:cs="Arial"/>
          <w:b/>
          <w:kern w:val="0"/>
          <w:sz w:val="32"/>
          <w:szCs w:val="32"/>
        </w:rPr>
        <w:t xml:space="preserve"> 4、科技人才建设支撑新旧动能转换     </w:t>
      </w:r>
    </w:p>
    <w:p>
      <w:pPr>
        <w:adjustRightInd w:val="0"/>
        <w:snapToGrid w:val="0"/>
        <w:spacing w:line="360" w:lineRule="auto"/>
        <w:ind w:firstLine="640" w:firstLineChars="200"/>
        <w:rPr>
          <w:rFonts w:ascii="仿宋_GB2312" w:hAnsi="仿宋" w:eastAsia="仿宋_GB2312" w:cs="Arial"/>
          <w:kern w:val="0"/>
          <w:sz w:val="32"/>
          <w:szCs w:val="32"/>
        </w:rPr>
      </w:pPr>
      <w:r>
        <w:rPr>
          <w:rFonts w:hint="eastAsia" w:ascii="仿宋_GB2312" w:hAnsi="仿宋" w:eastAsia="仿宋_GB2312" w:cs="仿宋_GB2312"/>
          <w:sz w:val="32"/>
          <w:szCs w:val="32"/>
        </w:rPr>
        <w:t>（1）完善科技人才培养和引进的政策体系研究。以打造人才生态最优省份为目标，研究我省科技人才培育、引进、使用、流动、评价、激励等方面政策的实施情况及存在问题，</w:t>
      </w:r>
      <w:r>
        <w:rPr>
          <w:rFonts w:hint="eastAsia" w:ascii="仿宋_GB2312" w:hAnsi="仿宋" w:eastAsia="仿宋_GB2312" w:cs="Arial"/>
          <w:kern w:val="0"/>
          <w:sz w:val="32"/>
          <w:szCs w:val="32"/>
        </w:rPr>
        <w:t>提升青年科技人才创新创造能力，实施青年科技人才培养计划，鼓励青年科技人才创新创业等政策机制。</w:t>
      </w:r>
    </w:p>
    <w:p>
      <w:pPr>
        <w:adjustRightInd w:val="0"/>
        <w:snapToGrid w:val="0"/>
        <w:spacing w:line="360" w:lineRule="auto"/>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研究科技人才分类评价体系，对科技人才进行科学分类,分析基础研究与应用基础研究、技术开发与应用、创新创业等不同类型创新型科技人才的特征，提出的创新型科技人才评价模型,形成不同类型创新型科技人才评价指标体系，强化突出创新能力、质量、贡献、绩效的评价导向。</w:t>
      </w:r>
    </w:p>
    <w:p>
      <w:pPr>
        <w:adjustRightInd w:val="0"/>
        <w:snapToGrid w:val="0"/>
        <w:spacing w:line="360" w:lineRule="auto"/>
        <w:rPr>
          <w:rFonts w:ascii="楷体" w:hAnsi="楷体" w:eastAsia="楷体" w:cs="Arial"/>
          <w:b/>
          <w:kern w:val="0"/>
          <w:sz w:val="32"/>
          <w:szCs w:val="32"/>
        </w:rPr>
      </w:pPr>
      <w:r>
        <w:rPr>
          <w:rFonts w:hint="eastAsia" w:ascii="仿宋_GB2312" w:hAnsi="黑体" w:eastAsia="仿宋_GB2312" w:cs="Arial"/>
          <w:kern w:val="0"/>
          <w:sz w:val="32"/>
          <w:szCs w:val="32"/>
        </w:rPr>
        <w:t xml:space="preserve">  </w:t>
      </w:r>
      <w:r>
        <w:rPr>
          <w:rFonts w:hint="eastAsia" w:ascii="楷体" w:hAnsi="楷体" w:eastAsia="楷体" w:cs="Arial"/>
          <w:b/>
          <w:kern w:val="0"/>
          <w:sz w:val="32"/>
          <w:szCs w:val="32"/>
        </w:rPr>
        <w:t xml:space="preserve">   5、科技政策研究与评估</w:t>
      </w:r>
    </w:p>
    <w:p>
      <w:pPr>
        <w:adjustRightInd w:val="0"/>
        <w:snapToGrid w:val="0"/>
        <w:spacing w:line="360" w:lineRule="auto"/>
        <w:rPr>
          <w:rFonts w:ascii="仿宋_GB2312" w:hAnsi="仿宋" w:eastAsia="仿宋_GB2312" w:cs="仿宋_GB2312"/>
          <w:sz w:val="32"/>
          <w:szCs w:val="32"/>
        </w:rPr>
      </w:pPr>
      <w:r>
        <w:rPr>
          <w:rFonts w:hint="eastAsia" w:ascii="仿宋_GB2312" w:hAnsi="仿宋" w:eastAsia="仿宋_GB2312" w:cs="仿宋_GB2312"/>
          <w:sz w:val="32"/>
          <w:szCs w:val="32"/>
        </w:rPr>
        <w:t xml:space="preserve">    （1）回顾改革开放40年来山东科技改革发展进程，总结我省实施科教兴国战略、创新驱动发展战略主要成就，争创获批创新型省份和创建山东半岛国家自主创新示范区等走在前列的重大进展，全面梳理我省面向世界科技前沿、面向经济主战场、面向国家重大需求取得的重要科技成果，结合国内外科技政策发展态势，展望我省未来科技发展前瞻性预见性创新突破，谋篇布局科技改革发展的新形势和新举措的对策建议。</w:t>
      </w:r>
    </w:p>
    <w:p>
      <w:pPr>
        <w:adjustRightInd w:val="0"/>
        <w:snapToGrid w:val="0"/>
        <w:spacing w:line="360" w:lineRule="auto"/>
        <w:rPr>
          <w:rFonts w:ascii="仿宋_GB2312" w:hAnsi="仿宋" w:eastAsia="仿宋_GB2312" w:cs="仿宋_GB2312"/>
          <w:sz w:val="32"/>
          <w:szCs w:val="32"/>
        </w:rPr>
      </w:pPr>
      <w:r>
        <w:rPr>
          <w:rFonts w:hint="eastAsia" w:ascii="仿宋_GB2312" w:hAnsi="仿宋" w:eastAsia="仿宋_GB2312" w:cs="Arial"/>
          <w:kern w:val="0"/>
          <w:sz w:val="32"/>
          <w:szCs w:val="32"/>
        </w:rPr>
        <w:t xml:space="preserve">    （2）</w:t>
      </w:r>
      <w:r>
        <w:rPr>
          <w:rFonts w:hint="eastAsia" w:ascii="仿宋_GB2312" w:hAnsi="仿宋" w:eastAsia="仿宋_GB2312" w:cs="仿宋_GB2312"/>
          <w:sz w:val="32"/>
          <w:szCs w:val="32"/>
        </w:rPr>
        <w:t>结合国内外科技政策发展态势，研究我省科技政策开放大数据平台模式、路径，提出利用大数据开展科技政策的影响评价研究方法，研究评估当前建设中存在的制度及政策上的主要制约，持续推进实施创新驱动发展战略的有效路径、突破环节及对策举措，分析新问题、新需求，提出制度创新与政策优化的对策建议。</w:t>
      </w:r>
    </w:p>
    <w:p>
      <w:pPr>
        <w:adjustRightInd w:val="0"/>
        <w:snapToGrid w:val="0"/>
        <w:spacing w:line="360" w:lineRule="auto"/>
        <w:rPr>
          <w:rFonts w:ascii="仿宋_GB2312" w:hAnsi="仿宋" w:eastAsia="仿宋_GB2312"/>
          <w:color w:val="333333"/>
          <w:kern w:val="0"/>
          <w:sz w:val="32"/>
          <w:szCs w:val="32"/>
        </w:rPr>
      </w:pPr>
      <w:r>
        <w:rPr>
          <w:rFonts w:hint="eastAsia" w:ascii="仿宋_GB2312" w:hAnsi="仿宋" w:eastAsia="仿宋_GB2312" w:cs="仿宋_GB2312"/>
          <w:sz w:val="32"/>
          <w:szCs w:val="32"/>
        </w:rPr>
        <w:t xml:space="preserve">    （3）调研评估山东省</w:t>
      </w:r>
      <w:r>
        <w:rPr>
          <w:rFonts w:hint="eastAsia" w:ascii="仿宋_GB2312" w:hAnsi="仿宋" w:eastAsia="仿宋_GB2312"/>
          <w:color w:val="333333"/>
          <w:kern w:val="0"/>
          <w:sz w:val="32"/>
          <w:szCs w:val="32"/>
        </w:rPr>
        <w:t>近年出台的科技政策的贯彻实施情况</w:t>
      </w:r>
      <w:r>
        <w:rPr>
          <w:rFonts w:hint="eastAsia" w:ascii="仿宋_GB2312" w:hAnsi="仿宋" w:eastAsia="仿宋_GB2312" w:cs="仿宋_GB2312"/>
          <w:sz w:val="32"/>
          <w:szCs w:val="32"/>
        </w:rPr>
        <w:t>。选取某一类政策开展研究，</w:t>
      </w:r>
      <w:r>
        <w:rPr>
          <w:rFonts w:hint="eastAsia" w:ascii="仿宋_GB2312" w:hAnsi="仿宋" w:eastAsia="仿宋_GB2312"/>
          <w:color w:val="333333"/>
          <w:kern w:val="0"/>
          <w:sz w:val="32"/>
          <w:szCs w:val="32"/>
        </w:rPr>
        <w:t>通过基础性资料收集、调查问卷设计、开展实证调查，全面了解和掌握政策的合理性、协调性、成本效益、社会认同等方面实施效果，重点评估实施过程中存在的问题及障碍，提出相关的补充、修订、完善等意见和建议，为政策健全完善提供相应的决策参考。</w:t>
      </w:r>
    </w:p>
    <w:p>
      <w:pPr>
        <w:spacing w:line="360" w:lineRule="auto"/>
        <w:rPr>
          <w:rFonts w:ascii="黑体" w:hAnsi="黑体" w:eastAsia="黑体" w:cs="黑体"/>
          <w:b/>
          <w:sz w:val="32"/>
          <w:szCs w:val="32"/>
        </w:rPr>
      </w:pPr>
      <w:r>
        <w:rPr>
          <w:rFonts w:hint="eastAsia" w:ascii="黑体" w:hAnsi="黑体" w:eastAsia="黑体" w:cs="黑体"/>
          <w:b/>
          <w:sz w:val="32"/>
          <w:szCs w:val="32"/>
        </w:rPr>
        <w:t xml:space="preserve">    二、重点项目研究要求</w:t>
      </w:r>
    </w:p>
    <w:p>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1、紧扣主题，目标明确。课题的整体设计条理清晰, 框架设计合理，具有鲜明的问题意识和较强的创新性。</w:t>
      </w:r>
    </w:p>
    <w:p>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2、面向需求，重在调研。项目研究重在科技管理创新需求，深入分析当前形势及现状，坚持以实际调研为基础和应用对策研究相结合,学术性和应用性相结合。</w:t>
      </w:r>
    </w:p>
    <w:p>
      <w:pPr>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3、问题导向，对策适当。提出问题有据，研究问题深入，解决问题可行。尤其是对策建议要具有操作性、针对性和前瞻性。</w:t>
      </w:r>
    </w:p>
    <w:p>
      <w:pPr>
        <w:adjustRightInd w:val="0"/>
        <w:snapToGrid w:val="0"/>
        <w:spacing w:line="360" w:lineRule="auto"/>
        <w:rPr>
          <w:rFonts w:ascii="黑体" w:hAnsi="黑体" w:eastAsia="黑体" w:cs="黑体"/>
          <w:kern w:val="0"/>
          <w:sz w:val="32"/>
          <w:szCs w:val="32"/>
        </w:rPr>
      </w:pPr>
      <w:r>
        <w:rPr>
          <w:rFonts w:hint="eastAsia" w:ascii="黑体" w:hAnsi="黑体" w:eastAsia="黑体" w:cs="黑体"/>
          <w:kern w:val="0"/>
          <w:sz w:val="32"/>
          <w:szCs w:val="32"/>
        </w:rPr>
        <w:t xml:space="preserve">     三</w:t>
      </w:r>
      <w:r>
        <w:rPr>
          <w:rFonts w:hint="eastAsia" w:ascii="黑体" w:hAnsi="黑体" w:eastAsia="黑体" w:cs="黑体"/>
          <w:b/>
          <w:bCs/>
          <w:sz w:val="32"/>
          <w:szCs w:val="32"/>
        </w:rPr>
        <w:t>、一般项目</w:t>
      </w:r>
    </w:p>
    <w:p>
      <w:pPr>
        <w:adjustRightInd w:val="0"/>
        <w:snapToGrid w:val="0"/>
        <w:spacing w:line="360" w:lineRule="auto"/>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    一般项目全部为自筹经费项目，以培养青年人才、挖掘优秀成果为目的。项目申报按选题领域自行设计选题和研究内容，鼓励自由探索。对已取得的阶段性研究成果作为立项遴选的重要参考依据。研究要立足山东省情，技术路线可行，注重研究的实证性、对策性、操作性，提出有建设性的对策建议。</w:t>
      </w:r>
    </w:p>
    <w:p>
      <w:pPr>
        <w:adjustRightInd w:val="0"/>
        <w:snapToGrid w:val="0"/>
        <w:spacing w:line="360" w:lineRule="auto"/>
        <w:rPr>
          <w:rFonts w:ascii="仿宋_GB2312" w:hAnsi="仿宋" w:eastAsia="仿宋_GB2312" w:cs="Arial"/>
          <w:b/>
          <w:kern w:val="0"/>
          <w:sz w:val="32"/>
          <w:szCs w:val="32"/>
        </w:rPr>
      </w:pPr>
      <w:r>
        <w:rPr>
          <w:rFonts w:hint="eastAsia" w:ascii="仿宋_GB2312" w:hAnsi="仿宋" w:eastAsia="仿宋_GB2312" w:cs="Arial"/>
          <w:kern w:val="0"/>
          <w:sz w:val="32"/>
          <w:szCs w:val="32"/>
        </w:rPr>
        <w:t xml:space="preserve">    </w:t>
      </w:r>
      <w:r>
        <w:rPr>
          <w:rFonts w:hint="eastAsia" w:ascii="仿宋_GB2312" w:hAnsi="仿宋" w:eastAsia="仿宋_GB2312" w:cs="Arial"/>
          <w:b/>
          <w:kern w:val="0"/>
          <w:sz w:val="32"/>
          <w:szCs w:val="32"/>
        </w:rPr>
        <w:t>一般项目选题领域</w:t>
      </w:r>
    </w:p>
    <w:p>
      <w:pPr>
        <w:adjustRightInd w:val="0"/>
        <w:snapToGrid w:val="0"/>
        <w:spacing w:line="360" w:lineRule="auto"/>
        <w:rPr>
          <w:rFonts w:ascii="仿宋_GB2312" w:hAnsi="仿宋" w:eastAsia="仿宋_GB2312" w:cs="Arial"/>
          <w:kern w:val="0"/>
          <w:sz w:val="32"/>
          <w:szCs w:val="32"/>
        </w:rPr>
      </w:pPr>
      <w:r>
        <w:rPr>
          <w:rFonts w:hint="eastAsia" w:ascii="仿宋_GB2312" w:hAnsi="仿宋" w:eastAsia="仿宋_GB2312" w:cs="Arial"/>
          <w:kern w:val="0"/>
          <w:sz w:val="32"/>
          <w:szCs w:val="32"/>
        </w:rPr>
        <w:t>　  1. 科技发展战略研究；</w:t>
      </w:r>
    </w:p>
    <w:p>
      <w:pPr>
        <w:adjustRightInd w:val="0"/>
        <w:snapToGrid w:val="0"/>
        <w:spacing w:line="360" w:lineRule="auto"/>
        <w:rPr>
          <w:rFonts w:ascii="仿宋_GB2312" w:hAnsi="仿宋" w:eastAsia="仿宋_GB2312" w:cs="Arial"/>
          <w:kern w:val="0"/>
          <w:sz w:val="32"/>
          <w:szCs w:val="32"/>
        </w:rPr>
      </w:pPr>
      <w:r>
        <w:rPr>
          <w:rFonts w:hint="eastAsia" w:ascii="仿宋_GB2312" w:hAnsi="仿宋" w:eastAsia="仿宋_GB2312" w:cs="Arial"/>
          <w:kern w:val="0"/>
          <w:sz w:val="32"/>
          <w:szCs w:val="32"/>
        </w:rPr>
        <w:t>　　2. 县域创新研究；</w:t>
      </w:r>
    </w:p>
    <w:p>
      <w:pPr>
        <w:adjustRightInd w:val="0"/>
        <w:snapToGrid w:val="0"/>
        <w:spacing w:line="360" w:lineRule="auto"/>
        <w:rPr>
          <w:rFonts w:ascii="仿宋_GB2312" w:hAnsi="仿宋" w:eastAsia="仿宋_GB2312" w:cs="Arial"/>
          <w:kern w:val="0"/>
          <w:sz w:val="32"/>
          <w:szCs w:val="32"/>
        </w:rPr>
      </w:pPr>
      <w:r>
        <w:rPr>
          <w:rFonts w:hint="eastAsia" w:ascii="仿宋_GB2312" w:hAnsi="仿宋" w:eastAsia="仿宋_GB2312" w:cs="Arial"/>
          <w:kern w:val="0"/>
          <w:sz w:val="32"/>
          <w:szCs w:val="32"/>
        </w:rPr>
        <w:t>　　3. 十强产业技术瓶颈研究；</w:t>
      </w:r>
    </w:p>
    <w:p>
      <w:pPr>
        <w:adjustRightInd w:val="0"/>
        <w:snapToGrid w:val="0"/>
        <w:spacing w:line="360" w:lineRule="auto"/>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    4. 企业自主创新研究；</w:t>
      </w:r>
    </w:p>
    <w:p>
      <w:pPr>
        <w:adjustRightInd w:val="0"/>
        <w:snapToGrid w:val="0"/>
        <w:spacing w:line="360" w:lineRule="auto"/>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    5. 科技服务与管理研究；</w:t>
      </w:r>
    </w:p>
    <w:p>
      <w:pPr>
        <w:adjustRightInd w:val="0"/>
        <w:snapToGrid w:val="0"/>
        <w:spacing w:line="360" w:lineRule="auto"/>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    6. 科技人才研究；</w:t>
      </w:r>
    </w:p>
    <w:p>
      <w:pPr>
        <w:adjustRightInd w:val="0"/>
        <w:snapToGrid w:val="0"/>
        <w:spacing w:line="360" w:lineRule="auto"/>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    7. 军民科技融合研究；</w:t>
      </w:r>
    </w:p>
    <w:p>
      <w:pPr>
        <w:adjustRightInd w:val="0"/>
        <w:snapToGrid w:val="0"/>
        <w:spacing w:line="360" w:lineRule="auto"/>
        <w:rPr>
          <w:rFonts w:ascii="仿宋_GB2312" w:eastAsia="仿宋_GB2312"/>
          <w:sz w:val="32"/>
          <w:szCs w:val="32"/>
        </w:rPr>
      </w:pPr>
      <w:r>
        <w:rPr>
          <w:rFonts w:hint="eastAsia" w:ascii="仿宋_GB2312" w:hAnsi="仿宋" w:eastAsia="仿宋_GB2312" w:cs="Arial"/>
          <w:kern w:val="0"/>
          <w:sz w:val="32"/>
          <w:szCs w:val="32"/>
        </w:rPr>
        <w:t xml:space="preserve">    8. 科技创新创业研究。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D4AA7"/>
    <w:rsid w:val="095D4AA7"/>
    <w:rsid w:val="0BA03B3A"/>
    <w:rsid w:val="6D535020"/>
    <w:rsid w:val="72CE1EDE"/>
    <w:rsid w:val="7A063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2018-05-25T06:56:00Z</dcterms:created>
  <dc:creator>董天</dc:creator>
  <cp:lastModifiedBy>rhy</cp:lastModifiedBy>
  <dcterms:modified xsi:type="dcterms:W3CDTF">2018-05-28T03:20:38Z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6</vt:lpwstr>
  </property>
</Properties>
</file>